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F5" w:rsidRDefault="00AE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UZSA KÖZSÉG ÖNKORMÁNYZAT KÉPVISELŐ-TESTÜLETÉNEK</w:t>
      </w:r>
    </w:p>
    <w:p w:rsidR="00985CF5" w:rsidRDefault="00AE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SZABÁLYZATA</w:t>
      </w:r>
    </w:p>
    <w:p w:rsidR="00985CF5" w:rsidRDefault="00AE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BURSA HUNGARICA FELSŐOKTATÁSI ÖNKORMÁNYZATI ÖSZTÖNDÍJ PÁLYÁZAT BENYÚJTÁSÁNAK, ELBÍRÁLÁSÁNAK HELYI SZABÁLYIARÓL</w:t>
      </w:r>
    </w:p>
    <w:p w:rsidR="00985CF5" w:rsidRDefault="0098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 pályázatok helyi elbírálása során a vonatkozó hatályos jogszabályokban, a Felsőoktatási Pályázatok Irodája által kiadott „Általános Szerződés Feltételek a helyi önkormányzatok részére” c. anyagban, a </w:t>
      </w:r>
      <w:r>
        <w:rPr>
          <w:rFonts w:ascii="Times New Roman" w:hAnsi="Times New Roman" w:cs="Times New Roman"/>
          <w:sz w:val="24"/>
          <w:szCs w:val="24"/>
        </w:rPr>
        <w:t xml:space="preserve">pályázati kiírásban és a jelen szabályzatban foglaltak szerint kell eljárni. </w:t>
      </w:r>
    </w:p>
    <w:p w:rsidR="00985CF5" w:rsidRDefault="00985C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szabályzat hatálya azokra az Uzsa település illetékességi területén állandó lakóhellyel rendelkező hátrányos szociális helyzetű személyekre terjed ki, akik </w:t>
      </w:r>
    </w:p>
    <w:p w:rsidR="00985CF5" w:rsidRDefault="00985C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</w:t>
      </w:r>
      <w:r>
        <w:rPr>
          <w:rFonts w:ascii="Times New Roman" w:hAnsi="Times New Roman" w:cs="Times New Roman"/>
          <w:sz w:val="24"/>
          <w:szCs w:val="24"/>
        </w:rPr>
        <w:t>ézményben (felsőoktatási hallgatói jogviszony keretében), teljes idejű (nappali munkarend) alapfokozatot és szakképzettséget eredményező alapképzésben, mesterfokozatot és szakképzettséget eredményező mesterképzésben, osztatlan képzésben vagy felsőfokú, ill</w:t>
      </w:r>
      <w:r>
        <w:rPr>
          <w:rFonts w:ascii="Times New Roman" w:hAnsi="Times New Roman" w:cs="Times New Roman"/>
          <w:sz w:val="24"/>
          <w:szCs w:val="24"/>
        </w:rPr>
        <w:t xml:space="preserve">etve felsőoktatási szakképzésben folytatják tanulmányaikat (A típusú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</w:t>
      </w:r>
      <w:proofErr w:type="gramStart"/>
      <w:r>
        <w:rPr>
          <w:rFonts w:ascii="Times New Roman" w:hAnsi="Times New Roman" w:cs="Times New Roman"/>
          <w:sz w:val="24"/>
          <w:szCs w:val="24"/>
        </w:rPr>
        <w:t>ösztöndíj)  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utolsó éves, érettségi előtt álló középiskolás, illetve felsőfokú végzettséggel nem rendelkező, felsőoktatási intézménybe </w:t>
      </w:r>
      <w:r>
        <w:rPr>
          <w:rFonts w:ascii="Times New Roman" w:hAnsi="Times New Roman" w:cs="Times New Roman"/>
          <w:sz w:val="24"/>
          <w:szCs w:val="24"/>
        </w:rPr>
        <w:t xml:space="preserve">felvételt még nem nyert, érettségizett pályázó lehet, aki felsőoktatási intézmény keretében teljes idejű (nappali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alapfokozatot és szakképzettséget eredményező alapképzésben, egységes osztatlan képzésben vagy felsőfokú szakképzésben </w:t>
      </w:r>
      <w:proofErr w:type="gramStart"/>
      <w:r>
        <w:rPr>
          <w:rFonts w:ascii="Times New Roman" w:hAnsi="Times New Roman" w:cs="Times New Roman"/>
          <w:sz w:val="24"/>
          <w:szCs w:val="24"/>
        </w:rPr>
        <w:t>(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típusú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ösztöndíj)</w:t>
      </w:r>
    </w:p>
    <w:p w:rsidR="00985CF5" w:rsidRDefault="00AE61F1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kíván részt venni azzal a feltétellel, hogy </w:t>
      </w: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pályázóval közös háztartásban élők egy főre jutó jövedelme az öregségi nyugdíj mindenkori legkisebb összegének (28.500.- Ft) 400 %-át (114.000.- </w:t>
      </w:r>
      <w:proofErr w:type="gramStart"/>
      <w:r>
        <w:rPr>
          <w:rFonts w:ascii="Times New Roman" w:hAnsi="Times New Roman" w:cs="Times New Roman"/>
          <w:sz w:val="24"/>
          <w:szCs w:val="24"/>
        </w:rPr>
        <w:t>Ft)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aladja meg,</w:t>
      </w: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pályázónak és a vele együtt élő tartásra köteles közeli hozzátartozójának nincs helyi adó tartozása, vagy az Önkormányzatot illető más jogcímen keletkezett tartozása</w:t>
      </w: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 típusú támogatásban részesített pályázó a felsőoktatási intézmény felvét</w:t>
      </w:r>
      <w:r>
        <w:rPr>
          <w:rFonts w:ascii="Times New Roman" w:hAnsi="Times New Roman" w:cs="Times New Roman"/>
          <w:sz w:val="24"/>
          <w:szCs w:val="24"/>
        </w:rPr>
        <w:t xml:space="preserve">eli döntéséről szóló határozat másolatával (augusztus 31-ig) köteles bejelenteni az Önkormányzat részére, hogy melyik felsőoktatási intézményben kezdi meg tanulmányait. </w:t>
      </w:r>
    </w:p>
    <w:p w:rsidR="00985CF5" w:rsidRDefault="00AE61F1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„B” típusú ösztöndíjasok szociális rászorultságát az önkormányzat évente egyszer – az </w:t>
      </w:r>
      <w:r>
        <w:rPr>
          <w:rFonts w:ascii="Times New Roman" w:hAnsi="Times New Roman" w:cs="Times New Roman"/>
          <w:sz w:val="24"/>
          <w:szCs w:val="24"/>
        </w:rPr>
        <w:t>évente kiírt pályázat határidőinek betartásával – köteles felülvizsgálni, melyhez a pályázó, tanulmányai tényleges megkezdésének igazolására (aktuális időszakra vonatkozó) eredeti jogviszony igazolást köteles csatolni.</w:t>
      </w:r>
    </w:p>
    <w:p w:rsidR="00985CF5" w:rsidRDefault="00985CF5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elbírálása során azonos</w:t>
      </w:r>
      <w:r>
        <w:rPr>
          <w:rFonts w:ascii="Times New Roman" w:hAnsi="Times New Roman" w:cs="Times New Roman"/>
          <w:sz w:val="24"/>
          <w:szCs w:val="24"/>
        </w:rPr>
        <w:t xml:space="preserve"> feltételek fennállása esetén előnyben kell részesíteni azt a pályázót, aki/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szülei (vagy egyik szülője) munkanélküli, rokkant vagy öregségi nyugdíjas, illetve tartósan beteg, 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legalább három eltartott személy van,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szülője a pályázót egyedü</w:t>
      </w:r>
      <w:r>
        <w:rPr>
          <w:rFonts w:ascii="Times New Roman" w:hAnsi="Times New Roman" w:cs="Times New Roman"/>
          <w:sz w:val="24"/>
          <w:szCs w:val="24"/>
        </w:rPr>
        <w:t>l neveli,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árva, félárva,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valamilyen krónikus betegségben szenved, vagy mozgáskorlátozott,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kollégiumi ellátásban nem részesül,</w:t>
      </w:r>
    </w:p>
    <w:p w:rsidR="00985CF5" w:rsidRDefault="00AE61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családjában legalább két gyermek tanul felsőoktatási intézményben. </w:t>
      </w:r>
    </w:p>
    <w:p w:rsidR="00985CF5" w:rsidRDefault="00985CF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Kivételes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méltányosságból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indokolt esetben a 2. pontban írt jövedelemhatártól legfeljebb 30 %-kal (34.200.- Ft az eltérítés) el lehet térni </w:t>
      </w:r>
      <w:proofErr w:type="gramStart"/>
      <w:r>
        <w:rPr>
          <w:rFonts w:ascii="Times New Roman" w:hAnsi="Times New Roman" w:cs="Times New Roman"/>
          <w:sz w:val="24"/>
          <w:szCs w:val="24"/>
        </w:rPr>
        <w:t>( így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egy főre jutó jövedelem 148.200.- </w:t>
      </w:r>
      <w:r>
        <w:rPr>
          <w:rFonts w:ascii="Times New Roman" w:hAnsi="Times New Roman" w:cs="Times New Roman"/>
          <w:sz w:val="24"/>
          <w:szCs w:val="24"/>
        </w:rPr>
        <w:t xml:space="preserve">Ft) ha a 3. pontban felsorol okok közül legalább kettő ok együttesen fennáll, vagy a család jövedelmi viszonyaiban a közeljövőben bizonyíthatóan jelentős romlás következik be. </w:t>
      </w:r>
    </w:p>
    <w:p w:rsidR="00985CF5" w:rsidRDefault="00985C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összege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pályázónként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5.000.- Ft/hó. A megállapított ösztöndíj „A” </w:t>
      </w:r>
      <w:r>
        <w:rPr>
          <w:rFonts w:ascii="Times New Roman" w:hAnsi="Times New Roman" w:cs="Times New Roman"/>
          <w:sz w:val="24"/>
          <w:szCs w:val="24"/>
        </w:rPr>
        <w:t xml:space="preserve">típusú ösztöndíj esetében 10 hónapra, két egymást követő tanulmányi félévre, a „B” típusú ösztöndíj eseténben pedig 3 x 10 hónapra, hat egymást követő tanulmányi félévre szól. </w:t>
      </w:r>
    </w:p>
    <w:p w:rsidR="00985CF5" w:rsidRDefault="00985C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 folyósítás szünetel azokra a tanulmányi félévekre, amelyekre az öszt</w:t>
      </w:r>
      <w:r>
        <w:rPr>
          <w:rFonts w:ascii="Times New Roman" w:hAnsi="Times New Roman" w:cs="Times New Roman"/>
          <w:sz w:val="24"/>
          <w:szCs w:val="24"/>
        </w:rPr>
        <w:t>öndíjas hallgató nem iratkozik be. Az Önkormányzat megszünteti a támogatást, ha a támogatásban részesülő az Önkormányzat illetékességi területéről elköltözik.</w:t>
      </w:r>
    </w:p>
    <w:p w:rsidR="00985CF5" w:rsidRDefault="00985CF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„B” típusú támogatás esetén a jövedelmi viszonyokat évente felül kell 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az aktuális pályázati kiír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ás határidőit figyelembe véve a tovább folyósítás céljából felül kell vizsgálni.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proofErr w:type="gramStart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A beérkezett pályázatok elbírálása,</w:t>
      </w:r>
      <w:proofErr w:type="gramEnd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és az egyedi döntések meghozatala a Képviselő-testület hatáskörébe tartozik. A Képviselő-testület döntése ellen fellebbezésnek nincs helye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.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numPr>
          <w:ilvl w:val="0"/>
          <w:numId w:val="1"/>
        </w:numPr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Jelen Szabályzatot az Önkormányzat hirdetőtábláján közzé kell tenni. A Szabályzatot a Képviselő-testület a 108/2013. (X.19.) számú határozatával elfogadta. Jelen szabályzat 2013. október 10. napján lép hatályba.</w:t>
      </w:r>
    </w:p>
    <w:p w:rsidR="00985CF5" w:rsidRDefault="00985CF5">
      <w:pPr>
        <w:pStyle w:val="Listaszerbekezds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Uzsa, 2013. október 10.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  <w:t>Perger Is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tván</w:t>
      </w: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  <w:t>alpolgármester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A szabályzat </w:t>
      </w:r>
      <w:proofErr w:type="gramStart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2.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,</w:t>
      </w:r>
      <w:proofErr w:type="gramEnd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4., és 5. pontjai a Képviselő-testület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</w:t>
      </w:r>
      <w:bookmarkStart w:id="0" w:name="_GoBack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….</w:t>
      </w:r>
      <w:bookmarkEnd w:id="0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.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/2019.(XI. 20.) számú határozatával </w:t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módosításra került, mely a módosításokkal egységes szerkezetben 2019. november 20. napján lép hatályba. 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Uzsa, 2019. november 20.</w:t>
      </w:r>
    </w:p>
    <w:p w:rsidR="00985CF5" w:rsidRDefault="00985CF5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</w:p>
    <w:p w:rsidR="00985CF5" w:rsidRDefault="00AE61F1">
      <w:pPr>
        <w:pStyle w:val="Listaszerbekezds"/>
        <w:jc w:val="both"/>
        <w:rPr>
          <w:rFonts w:ascii="Liberation Serif" w:eastAsia="SimSun" w:hAnsi="Liberation Serif" w:cs="Mangal" w:hint="eastAsia"/>
          <w:color w:val="00000A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proofErr w:type="spellStart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>Táborosi</w:t>
      </w:r>
      <w:proofErr w:type="spellEnd"/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 xml:space="preserve"> László</w:t>
      </w:r>
    </w:p>
    <w:p w:rsidR="00985CF5" w:rsidRDefault="00AE61F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z w:val="24"/>
          <w:szCs w:val="21"/>
          <w:lang w:eastAsia="zh-CN" w:bidi="hi-IN"/>
        </w:rPr>
        <w:tab/>
        <w:t xml:space="preserve">  polgármester</w:t>
      </w:r>
    </w:p>
    <w:p w:rsidR="00985CF5" w:rsidRDefault="00985CF5">
      <w:pPr>
        <w:pStyle w:val="Listaszerbekezds"/>
        <w:ind w:left="1080"/>
        <w:jc w:val="both"/>
      </w:pPr>
    </w:p>
    <w:sectPr w:rsidR="00985C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3202"/>
    <w:multiLevelType w:val="multilevel"/>
    <w:tmpl w:val="6426899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331DE"/>
    <w:multiLevelType w:val="multilevel"/>
    <w:tmpl w:val="B68C88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062AA0"/>
    <w:multiLevelType w:val="multilevel"/>
    <w:tmpl w:val="0D3C232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5"/>
    <w:rsid w:val="00665158"/>
    <w:rsid w:val="00985CF5"/>
    <w:rsid w:val="00A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EA00"/>
  <w15:docId w15:val="{C119BDC2-CFA7-451B-B14E-048C66E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SimSun" w:cs="Liberation Serif"/>
    </w:rPr>
  </w:style>
  <w:style w:type="character" w:customStyle="1" w:styleId="ListLabel4">
    <w:name w:val="ListLabel 4"/>
    <w:qFormat/>
    <w:rPr>
      <w:rFonts w:ascii="Times New Roman" w:eastAsia="Calibri" w:hAnsi="Times New Roman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CD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bocskei.helga</dc:creator>
  <cp:lastModifiedBy>Betti</cp:lastModifiedBy>
  <cp:revision>4</cp:revision>
  <cp:lastPrinted>2019-11-25T08:44:00Z</cp:lastPrinted>
  <dcterms:created xsi:type="dcterms:W3CDTF">2019-11-20T09:50:00Z</dcterms:created>
  <dcterms:modified xsi:type="dcterms:W3CDTF">2019-11-25T08:44:00Z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